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21529" w:rsidRDefault="002717D1" w:rsidP="00CF4755">
      <w:pPr>
        <w:pStyle w:val="Sinespaciado"/>
        <w:jc w:val="center"/>
        <w:rPr>
          <w:rFonts w:ascii="Edwardian Script ITC" w:hAnsi="Edwardian Script ITC"/>
          <w:b/>
          <w:sz w:val="34"/>
          <w:szCs w:val="34"/>
          <w:lang w:eastAsia="es-MX"/>
        </w:rPr>
      </w:pPr>
      <w:r w:rsidRPr="00921529">
        <w:rPr>
          <w:rFonts w:ascii="Edwardian Script ITC" w:hAnsi="Edwardian Script ITC"/>
          <w:b/>
          <w:sz w:val="34"/>
          <w:szCs w:val="34"/>
        </w:rPr>
        <w:t>Rama Legislativa del Poder Público</w:t>
      </w:r>
    </w:p>
    <w:p w14:paraId="70574CBC" w14:textId="77777777" w:rsidR="002717D1" w:rsidRPr="00900F9C" w:rsidRDefault="002717D1" w:rsidP="00CF4755">
      <w:pPr>
        <w:pStyle w:val="Sinespaciado"/>
        <w:jc w:val="center"/>
        <w:rPr>
          <w:rFonts w:ascii="Edwardian Script ITC" w:hAnsi="Edwardian Script ITC"/>
          <w:b/>
          <w:sz w:val="34"/>
          <w:szCs w:val="34"/>
        </w:rPr>
      </w:pPr>
      <w:r w:rsidRPr="00900F9C">
        <w:rPr>
          <w:rFonts w:ascii="Edwardian Script ITC" w:hAnsi="Edwardian Script ITC"/>
          <w:b/>
          <w:sz w:val="34"/>
          <w:szCs w:val="34"/>
        </w:rPr>
        <w:t>Comisión Séptima Constitucional Permanente</w:t>
      </w:r>
    </w:p>
    <w:p w14:paraId="6027C56D" w14:textId="77777777" w:rsidR="002717D1" w:rsidRPr="00900F9C" w:rsidRDefault="007E2AD8" w:rsidP="00CF4755">
      <w:pPr>
        <w:pStyle w:val="Sinespaciado"/>
        <w:jc w:val="center"/>
        <w:rPr>
          <w:rFonts w:ascii="Edwardian Script ITC" w:hAnsi="Edwardian Script ITC"/>
          <w:b/>
          <w:sz w:val="34"/>
          <w:szCs w:val="34"/>
        </w:rPr>
      </w:pPr>
      <w:r w:rsidRPr="00900F9C">
        <w:rPr>
          <w:rFonts w:ascii="Edwardian Script ITC" w:hAnsi="Edwardian Script ITC"/>
          <w:b/>
          <w:sz w:val="34"/>
          <w:szCs w:val="34"/>
        </w:rPr>
        <w:t>Legislatura 2021-2022</w:t>
      </w:r>
    </w:p>
    <w:p w14:paraId="70CDCD9F" w14:textId="77777777" w:rsidR="00A769D4" w:rsidRPr="00900F9C" w:rsidRDefault="00A769D4" w:rsidP="00CF4755">
      <w:pPr>
        <w:pStyle w:val="Sinespaciado"/>
        <w:jc w:val="center"/>
        <w:rPr>
          <w:rFonts w:ascii="Edwardian Script ITC" w:hAnsi="Edwardian Script ITC" w:cs="Arial"/>
          <w:b/>
          <w:sz w:val="18"/>
          <w:szCs w:val="18"/>
        </w:rPr>
      </w:pPr>
    </w:p>
    <w:p w14:paraId="626C21B7" w14:textId="11334205" w:rsidR="000C53A5" w:rsidRDefault="00E8300E" w:rsidP="00980BFE">
      <w:pPr>
        <w:pStyle w:val="Sinespaciado"/>
        <w:jc w:val="both"/>
        <w:rPr>
          <w:rFonts w:ascii="Arial" w:hAnsi="Arial" w:cs="Arial"/>
          <w:b/>
          <w:sz w:val="23"/>
          <w:szCs w:val="23"/>
        </w:rPr>
      </w:pPr>
      <w:r w:rsidRPr="00900F9C">
        <w:rPr>
          <w:rFonts w:ascii="Arial" w:hAnsi="Arial" w:cs="Arial"/>
          <w:b/>
          <w:bCs/>
          <w:sz w:val="23"/>
          <w:szCs w:val="23"/>
        </w:rPr>
        <w:t>TEXTO DEFINITIVO APROBADO EN PRIMER DEBATE DEL PROYECTO DE LEY</w:t>
      </w:r>
      <w:r w:rsidRPr="00900F9C">
        <w:rPr>
          <w:rFonts w:ascii="Arial" w:hAnsi="Arial" w:cs="Arial"/>
          <w:b/>
          <w:sz w:val="23"/>
          <w:szCs w:val="23"/>
        </w:rPr>
        <w:t xml:space="preserve"> </w:t>
      </w:r>
      <w:r w:rsidR="00900F9C" w:rsidRPr="00900F9C">
        <w:rPr>
          <w:rFonts w:ascii="Arial" w:hAnsi="Arial" w:cs="Arial"/>
          <w:b/>
          <w:sz w:val="23"/>
          <w:szCs w:val="23"/>
        </w:rPr>
        <w:t>No. 311 DE 2021 CÁMARA “POR MEDIO DE LA CUAL SE DECLARA PATRIMONIO CULTURAL E INMATERIAL EL FUTBOL COLOMBIANO Y SE DICTAN OTRAS DISPOSICIONES”</w:t>
      </w:r>
    </w:p>
    <w:p w14:paraId="767881BF" w14:textId="77777777" w:rsidR="00900F9C" w:rsidRPr="00E5643A" w:rsidRDefault="00900F9C" w:rsidP="00980BFE">
      <w:pPr>
        <w:pStyle w:val="Sinespaciado"/>
        <w:jc w:val="both"/>
        <w:rPr>
          <w:rFonts w:ascii="Arial" w:hAnsi="Arial" w:cs="Arial"/>
          <w:b/>
          <w:sz w:val="23"/>
          <w:szCs w:val="23"/>
        </w:rPr>
      </w:pPr>
    </w:p>
    <w:p w14:paraId="69566137" w14:textId="40FAEFB0" w:rsidR="002717D1" w:rsidRPr="00E5643A" w:rsidRDefault="002717D1" w:rsidP="00980BFE">
      <w:pPr>
        <w:pStyle w:val="Sinespaciado"/>
        <w:jc w:val="center"/>
        <w:rPr>
          <w:rFonts w:ascii="Arial" w:hAnsi="Arial" w:cs="Arial"/>
          <w:sz w:val="23"/>
          <w:szCs w:val="23"/>
        </w:rPr>
      </w:pPr>
      <w:r w:rsidRPr="00E5643A">
        <w:rPr>
          <w:rFonts w:ascii="Arial" w:hAnsi="Arial" w:cs="Arial"/>
          <w:sz w:val="23"/>
          <w:szCs w:val="23"/>
        </w:rPr>
        <w:t xml:space="preserve">(Aprobado en la </w:t>
      </w:r>
      <w:r w:rsidR="004C6DF0" w:rsidRPr="00E5643A">
        <w:rPr>
          <w:rFonts w:ascii="Arial" w:hAnsi="Arial" w:cs="Arial"/>
          <w:sz w:val="23"/>
          <w:szCs w:val="23"/>
        </w:rPr>
        <w:t xml:space="preserve">Sesión </w:t>
      </w:r>
      <w:r w:rsidR="00503697" w:rsidRPr="00E5643A">
        <w:rPr>
          <w:rFonts w:ascii="Arial" w:hAnsi="Arial" w:cs="Arial"/>
          <w:sz w:val="23"/>
          <w:szCs w:val="23"/>
        </w:rPr>
        <w:t>presencial</w:t>
      </w:r>
      <w:r w:rsidR="00E77D6C" w:rsidRPr="00E5643A">
        <w:rPr>
          <w:rFonts w:ascii="Arial" w:hAnsi="Arial" w:cs="Arial"/>
          <w:sz w:val="23"/>
          <w:szCs w:val="23"/>
        </w:rPr>
        <w:t xml:space="preserve"> </w:t>
      </w:r>
      <w:r w:rsidRPr="00E5643A">
        <w:rPr>
          <w:rFonts w:ascii="Arial" w:hAnsi="Arial" w:cs="Arial"/>
          <w:sz w:val="23"/>
          <w:szCs w:val="23"/>
        </w:rPr>
        <w:t>de</w:t>
      </w:r>
      <w:r w:rsidR="006B757E" w:rsidRPr="00E5643A">
        <w:rPr>
          <w:rFonts w:ascii="Arial" w:hAnsi="Arial" w:cs="Arial"/>
          <w:sz w:val="23"/>
          <w:szCs w:val="23"/>
        </w:rPr>
        <w:t xml:space="preserve">l </w:t>
      </w:r>
      <w:r w:rsidR="00900F9C" w:rsidRPr="00E5643A">
        <w:rPr>
          <w:rFonts w:ascii="Arial" w:hAnsi="Arial" w:cs="Arial"/>
          <w:sz w:val="23"/>
          <w:szCs w:val="23"/>
        </w:rPr>
        <w:t>29</w:t>
      </w:r>
      <w:r w:rsidR="008D5A55" w:rsidRPr="00E5643A">
        <w:rPr>
          <w:rFonts w:ascii="Arial" w:hAnsi="Arial" w:cs="Arial"/>
          <w:sz w:val="23"/>
          <w:szCs w:val="23"/>
        </w:rPr>
        <w:t xml:space="preserve"> </w:t>
      </w:r>
      <w:r w:rsidR="007E2AD8" w:rsidRPr="00E5643A">
        <w:rPr>
          <w:rFonts w:ascii="Arial" w:hAnsi="Arial" w:cs="Arial"/>
          <w:sz w:val="23"/>
          <w:szCs w:val="23"/>
        </w:rPr>
        <w:t xml:space="preserve">de </w:t>
      </w:r>
      <w:r w:rsidR="004C6DF0" w:rsidRPr="00E5643A">
        <w:rPr>
          <w:rFonts w:ascii="Arial" w:hAnsi="Arial" w:cs="Arial"/>
          <w:sz w:val="23"/>
          <w:szCs w:val="23"/>
        </w:rPr>
        <w:t>noviembre</w:t>
      </w:r>
      <w:r w:rsidR="0011513A" w:rsidRPr="00E5643A">
        <w:rPr>
          <w:rFonts w:ascii="Arial" w:hAnsi="Arial" w:cs="Arial"/>
          <w:sz w:val="23"/>
          <w:szCs w:val="23"/>
        </w:rPr>
        <w:t xml:space="preserve"> de 2021</w:t>
      </w:r>
      <w:r w:rsidR="00282D98" w:rsidRPr="00E5643A">
        <w:rPr>
          <w:rFonts w:ascii="Arial" w:hAnsi="Arial" w:cs="Arial"/>
          <w:sz w:val="23"/>
          <w:szCs w:val="23"/>
        </w:rPr>
        <w:t>,</w:t>
      </w:r>
      <w:r w:rsidRPr="00E5643A">
        <w:rPr>
          <w:rFonts w:ascii="Arial" w:hAnsi="Arial" w:cs="Arial"/>
          <w:sz w:val="23"/>
          <w:szCs w:val="23"/>
        </w:rPr>
        <w:t xml:space="preserve"> Comisión VII </w:t>
      </w:r>
      <w:r w:rsidR="00282D98" w:rsidRPr="00E5643A">
        <w:rPr>
          <w:rFonts w:ascii="Arial" w:hAnsi="Arial" w:cs="Arial"/>
          <w:sz w:val="23"/>
          <w:szCs w:val="23"/>
        </w:rPr>
        <w:t xml:space="preserve">Constitucional Permanente </w:t>
      </w:r>
      <w:r w:rsidRPr="00E5643A">
        <w:rPr>
          <w:rFonts w:ascii="Arial" w:hAnsi="Arial" w:cs="Arial"/>
          <w:sz w:val="23"/>
          <w:szCs w:val="23"/>
        </w:rPr>
        <w:t>de la H. Cámara de Representantes, Acta No.</w:t>
      </w:r>
      <w:r w:rsidR="006B757E" w:rsidRPr="00E5643A">
        <w:rPr>
          <w:rFonts w:ascii="Arial" w:hAnsi="Arial" w:cs="Arial"/>
          <w:sz w:val="23"/>
          <w:szCs w:val="23"/>
        </w:rPr>
        <w:t xml:space="preserve"> </w:t>
      </w:r>
      <w:r w:rsidR="00E5643A" w:rsidRPr="00E5643A">
        <w:rPr>
          <w:rFonts w:ascii="Arial" w:hAnsi="Arial" w:cs="Arial"/>
          <w:sz w:val="23"/>
          <w:szCs w:val="23"/>
        </w:rPr>
        <w:t>32</w:t>
      </w:r>
      <w:r w:rsidRPr="00E5643A">
        <w:rPr>
          <w:rFonts w:ascii="Arial" w:hAnsi="Arial" w:cs="Arial"/>
          <w:sz w:val="23"/>
          <w:szCs w:val="23"/>
        </w:rPr>
        <w:t>)</w:t>
      </w:r>
    </w:p>
    <w:p w14:paraId="31DC5EDC" w14:textId="77777777" w:rsidR="00E24232" w:rsidRPr="00E5643A" w:rsidRDefault="00E24232" w:rsidP="00980BFE">
      <w:pPr>
        <w:pStyle w:val="Sinespaciado"/>
        <w:jc w:val="both"/>
        <w:rPr>
          <w:rFonts w:ascii="Arial" w:hAnsi="Arial" w:cs="Arial"/>
          <w:sz w:val="23"/>
          <w:szCs w:val="23"/>
        </w:rPr>
      </w:pPr>
    </w:p>
    <w:p w14:paraId="6E2FFCA1" w14:textId="77777777" w:rsidR="001C7B89" w:rsidRPr="00E5643A" w:rsidRDefault="001C7B89" w:rsidP="00980BFE">
      <w:pPr>
        <w:pStyle w:val="Sinespaciado"/>
        <w:jc w:val="center"/>
        <w:rPr>
          <w:rFonts w:ascii="Arial" w:hAnsi="Arial" w:cs="Arial"/>
          <w:b/>
          <w:sz w:val="23"/>
          <w:szCs w:val="23"/>
        </w:rPr>
      </w:pPr>
      <w:r w:rsidRPr="00E5643A">
        <w:rPr>
          <w:rFonts w:ascii="Arial" w:hAnsi="Arial" w:cs="Arial"/>
          <w:b/>
          <w:sz w:val="23"/>
          <w:szCs w:val="23"/>
        </w:rPr>
        <w:t>EL CONGRESO DE COLOMBIA</w:t>
      </w:r>
    </w:p>
    <w:p w14:paraId="41FB9D1B" w14:textId="77777777" w:rsidR="00CE617B" w:rsidRPr="00E5643A" w:rsidRDefault="00CE617B" w:rsidP="00980BFE">
      <w:pPr>
        <w:pStyle w:val="Sinespaciado"/>
        <w:jc w:val="center"/>
        <w:rPr>
          <w:rFonts w:ascii="Arial" w:hAnsi="Arial" w:cs="Arial"/>
          <w:b/>
          <w:sz w:val="23"/>
          <w:szCs w:val="23"/>
        </w:rPr>
      </w:pPr>
    </w:p>
    <w:p w14:paraId="6CC6EEF2" w14:textId="77777777" w:rsidR="00EA48F0" w:rsidRPr="00E5643A" w:rsidRDefault="00EA48F0" w:rsidP="00980BFE">
      <w:pPr>
        <w:pStyle w:val="Sinespaciado"/>
        <w:jc w:val="center"/>
        <w:rPr>
          <w:rFonts w:ascii="Arial" w:hAnsi="Arial" w:cs="Arial"/>
          <w:sz w:val="23"/>
          <w:szCs w:val="23"/>
        </w:rPr>
      </w:pPr>
      <w:r w:rsidRPr="00E5643A">
        <w:rPr>
          <w:rFonts w:ascii="Arial" w:hAnsi="Arial" w:cs="Arial"/>
          <w:b/>
          <w:sz w:val="23"/>
          <w:szCs w:val="23"/>
        </w:rPr>
        <w:t>DECRETA:</w:t>
      </w:r>
    </w:p>
    <w:p w14:paraId="26C9A776" w14:textId="77777777" w:rsidR="00232981" w:rsidRPr="00A35669" w:rsidRDefault="00232981" w:rsidP="006976EA">
      <w:pPr>
        <w:pStyle w:val="Sinespaciado"/>
        <w:jc w:val="both"/>
        <w:rPr>
          <w:rFonts w:ascii="Arial" w:hAnsi="Arial" w:cs="Arial"/>
          <w:b/>
          <w:sz w:val="23"/>
          <w:szCs w:val="23"/>
          <w:highlight w:val="yellow"/>
        </w:rPr>
      </w:pPr>
    </w:p>
    <w:p w14:paraId="7EDAB913" w14:textId="77777777" w:rsidR="006F2177" w:rsidRPr="006F2177" w:rsidRDefault="006F2177" w:rsidP="006F2177">
      <w:pPr>
        <w:pStyle w:val="Sinespaciado"/>
        <w:jc w:val="both"/>
        <w:rPr>
          <w:rFonts w:ascii="Arial" w:hAnsi="Arial" w:cs="Arial"/>
        </w:rPr>
      </w:pPr>
      <w:r w:rsidRPr="006F2177">
        <w:rPr>
          <w:rFonts w:ascii="Arial" w:hAnsi="Arial" w:cs="Arial"/>
          <w:b/>
          <w:smallCaps/>
        </w:rPr>
        <w:t>Artículo 1. Objeto</w:t>
      </w:r>
      <w:r w:rsidRPr="006F2177">
        <w:rPr>
          <w:rFonts w:ascii="Arial" w:hAnsi="Arial" w:cs="Arial"/>
          <w:b/>
        </w:rPr>
        <w:t>.</w:t>
      </w:r>
      <w:r w:rsidRPr="006F2177">
        <w:rPr>
          <w:rFonts w:ascii="Arial" w:hAnsi="Arial" w:cs="Arial"/>
        </w:rPr>
        <w:t xml:space="preserve"> Declárese como patrimonio cultural e inmaterial de la nación el futbol colombiano.  </w:t>
      </w:r>
    </w:p>
    <w:p w14:paraId="27FAF947" w14:textId="77777777" w:rsidR="006F2177" w:rsidRPr="006F2177" w:rsidRDefault="006F2177" w:rsidP="006F2177">
      <w:pPr>
        <w:pStyle w:val="Sinespaciado"/>
        <w:jc w:val="both"/>
        <w:rPr>
          <w:rFonts w:ascii="Arial" w:hAnsi="Arial" w:cs="Arial"/>
        </w:rPr>
      </w:pPr>
    </w:p>
    <w:p w14:paraId="6239EE6F" w14:textId="77777777" w:rsidR="006F2177" w:rsidRPr="006F2177" w:rsidRDefault="006F2177" w:rsidP="006F2177">
      <w:pPr>
        <w:pStyle w:val="Sinespaciado"/>
        <w:jc w:val="both"/>
        <w:rPr>
          <w:rFonts w:ascii="Arial" w:hAnsi="Arial" w:cs="Arial"/>
        </w:rPr>
      </w:pPr>
      <w:r w:rsidRPr="006F2177">
        <w:rPr>
          <w:rFonts w:ascii="Arial" w:hAnsi="Arial" w:cs="Arial"/>
          <w:b/>
          <w:smallCaps/>
        </w:rPr>
        <w:t>Artículo 2.</w:t>
      </w:r>
      <w:r w:rsidRPr="006F2177">
        <w:rPr>
          <w:rFonts w:ascii="Arial" w:hAnsi="Arial" w:cs="Arial"/>
          <w:b/>
        </w:rPr>
        <w:t xml:space="preserve"> </w:t>
      </w:r>
      <w:r w:rsidRPr="006F2177">
        <w:rPr>
          <w:rFonts w:ascii="Arial" w:hAnsi="Arial" w:cs="Arial"/>
          <w:b/>
          <w:smallCaps/>
        </w:rPr>
        <w:t>Lista representativa de patrimonio cultural inmaterial.</w:t>
      </w:r>
      <w:r w:rsidRPr="006F2177">
        <w:rPr>
          <w:rFonts w:ascii="Arial" w:hAnsi="Arial" w:cs="Arial"/>
          <w:smallCaps/>
        </w:rPr>
        <w:t xml:space="preserve"> </w:t>
      </w:r>
      <w:r w:rsidRPr="006F2177">
        <w:rPr>
          <w:rFonts w:ascii="Arial" w:hAnsi="Arial" w:cs="Arial"/>
        </w:rPr>
        <w:t>El gobierno nacional, a través del Ministerio de Cultura, deberá incluir en la lista representativa de Patrimonio Cultural Inmaterial (LRPCI) y en el Banco de Proyectos el futbol colombiano.</w:t>
      </w:r>
    </w:p>
    <w:p w14:paraId="637D09C4" w14:textId="77777777" w:rsidR="006F2177" w:rsidRPr="006F2177" w:rsidRDefault="006F2177" w:rsidP="006F2177">
      <w:pPr>
        <w:pStyle w:val="Sinespaciado"/>
        <w:jc w:val="both"/>
        <w:rPr>
          <w:rFonts w:ascii="Arial" w:hAnsi="Arial" w:cs="Arial"/>
        </w:rPr>
      </w:pPr>
    </w:p>
    <w:p w14:paraId="4EEC7E31" w14:textId="77777777" w:rsidR="006F2177" w:rsidRPr="006F2177" w:rsidRDefault="006F2177" w:rsidP="006F2177">
      <w:pPr>
        <w:pStyle w:val="Sinespaciado"/>
        <w:jc w:val="both"/>
        <w:rPr>
          <w:rFonts w:ascii="Arial" w:hAnsi="Arial" w:cs="Arial"/>
        </w:rPr>
      </w:pPr>
      <w:r w:rsidRPr="006F2177">
        <w:rPr>
          <w:rFonts w:ascii="Arial" w:hAnsi="Arial" w:cs="Arial"/>
          <w:b/>
          <w:smallCaps/>
        </w:rPr>
        <w:t>Artículo 3.</w:t>
      </w:r>
      <w:r w:rsidRPr="006F2177">
        <w:rPr>
          <w:rFonts w:ascii="Arial" w:hAnsi="Arial" w:cs="Arial"/>
          <w:b/>
        </w:rPr>
        <w:t xml:space="preserve"> </w:t>
      </w:r>
      <w:r w:rsidRPr="006F2177">
        <w:rPr>
          <w:rFonts w:ascii="Arial" w:hAnsi="Arial" w:cs="Arial"/>
          <w:b/>
          <w:smallCaps/>
        </w:rPr>
        <w:t>Protección y promoción del futbol colombiano</w:t>
      </w:r>
      <w:r w:rsidRPr="006F2177">
        <w:rPr>
          <w:rFonts w:ascii="Arial" w:hAnsi="Arial" w:cs="Arial"/>
          <w:b/>
        </w:rPr>
        <w:t>.</w:t>
      </w:r>
      <w:r w:rsidRPr="006F2177">
        <w:rPr>
          <w:rFonts w:ascii="Arial" w:hAnsi="Arial" w:cs="Arial"/>
        </w:rPr>
        <w:t xml:space="preserve"> Autorícese al gobierno nacional, departamental y municipal planificar y financiar de manera directa o indirecta con organizaciones deportivas y/o recreativas, torneos, ligas y eventos deportivos del futbol profesional y aficionado colombiano.</w:t>
      </w:r>
    </w:p>
    <w:p w14:paraId="61B1FD68" w14:textId="77777777" w:rsidR="006F2177" w:rsidRPr="006F2177" w:rsidRDefault="006F2177" w:rsidP="006F2177">
      <w:pPr>
        <w:pStyle w:val="Sinespaciado"/>
        <w:jc w:val="both"/>
        <w:rPr>
          <w:rFonts w:ascii="Arial" w:hAnsi="Arial" w:cs="Arial"/>
        </w:rPr>
      </w:pPr>
    </w:p>
    <w:p w14:paraId="0453764C" w14:textId="77777777" w:rsidR="006F2177" w:rsidRPr="006F2177" w:rsidRDefault="006F2177" w:rsidP="006F2177">
      <w:pPr>
        <w:pStyle w:val="Sinespaciado"/>
        <w:jc w:val="both"/>
        <w:rPr>
          <w:rFonts w:ascii="Arial" w:hAnsi="Arial" w:cs="Arial"/>
        </w:rPr>
      </w:pPr>
      <w:r w:rsidRPr="006F2177">
        <w:rPr>
          <w:rFonts w:ascii="Arial" w:hAnsi="Arial" w:cs="Arial"/>
          <w:b/>
          <w:smallCaps/>
        </w:rPr>
        <w:t>Artículo 4. Autorización presupuestal.</w:t>
      </w:r>
      <w:r w:rsidRPr="006F2177">
        <w:rPr>
          <w:rFonts w:ascii="Arial" w:hAnsi="Arial" w:cs="Arial"/>
          <w:smallCaps/>
        </w:rPr>
        <w:t xml:space="preserve"> </w:t>
      </w:r>
      <w:r w:rsidRPr="006F2177">
        <w:rPr>
          <w:rFonts w:ascii="Arial" w:hAnsi="Arial" w:cs="Arial"/>
        </w:rPr>
        <w:t>Autorícese al gobierno nacional para que, en cumplimiento y de conformidad con los artículos </w:t>
      </w:r>
      <w:hyperlink r:id="rId8" w:anchor="288" w:history="1">
        <w:r w:rsidRPr="006F2177">
          <w:rPr>
            <w:rFonts w:ascii="Arial" w:hAnsi="Arial" w:cs="Arial"/>
          </w:rPr>
          <w:t>288</w:t>
        </w:r>
      </w:hyperlink>
      <w:r w:rsidRPr="006F2177">
        <w:rPr>
          <w:rFonts w:ascii="Arial" w:hAnsi="Arial" w:cs="Arial"/>
        </w:rPr>
        <w:t>, </w:t>
      </w:r>
      <w:hyperlink r:id="rId9" w:anchor="334" w:history="1">
        <w:r w:rsidRPr="006F2177">
          <w:rPr>
            <w:rFonts w:ascii="Arial" w:hAnsi="Arial" w:cs="Arial"/>
          </w:rPr>
          <w:t>334</w:t>
        </w:r>
      </w:hyperlink>
      <w:r w:rsidRPr="006F2177">
        <w:rPr>
          <w:rFonts w:ascii="Arial" w:hAnsi="Arial" w:cs="Arial"/>
        </w:rPr>
        <w:t>, </w:t>
      </w:r>
      <w:hyperlink r:id="rId10" w:anchor="339" w:history="1">
        <w:r w:rsidRPr="006F2177">
          <w:rPr>
            <w:rFonts w:ascii="Arial" w:hAnsi="Arial" w:cs="Arial"/>
          </w:rPr>
          <w:t>339</w:t>
        </w:r>
      </w:hyperlink>
      <w:r w:rsidRPr="006F2177">
        <w:rPr>
          <w:rFonts w:ascii="Arial" w:hAnsi="Arial" w:cs="Arial"/>
        </w:rPr>
        <w:t>, </w:t>
      </w:r>
      <w:hyperlink r:id="rId11" w:anchor="341" w:history="1">
        <w:r w:rsidRPr="006F2177">
          <w:rPr>
            <w:rFonts w:ascii="Arial" w:hAnsi="Arial" w:cs="Arial"/>
          </w:rPr>
          <w:t>341</w:t>
        </w:r>
      </w:hyperlink>
      <w:r w:rsidRPr="006F2177">
        <w:rPr>
          <w:rFonts w:ascii="Arial" w:hAnsi="Arial" w:cs="Arial"/>
        </w:rPr>
        <w:t>, </w:t>
      </w:r>
      <w:hyperlink r:id="rId12" w:anchor="345" w:history="1">
        <w:r w:rsidRPr="006F2177">
          <w:rPr>
            <w:rFonts w:ascii="Arial" w:hAnsi="Arial" w:cs="Arial"/>
          </w:rPr>
          <w:t>345</w:t>
        </w:r>
      </w:hyperlink>
      <w:r w:rsidRPr="006F2177">
        <w:rPr>
          <w:rFonts w:ascii="Arial" w:hAnsi="Arial" w:cs="Arial"/>
        </w:rPr>
        <w:t>, </w:t>
      </w:r>
      <w:hyperlink r:id="rId13" w:anchor="346" w:history="1">
        <w:r w:rsidRPr="006F2177">
          <w:rPr>
            <w:rFonts w:ascii="Arial" w:hAnsi="Arial" w:cs="Arial"/>
          </w:rPr>
          <w:t>346</w:t>
        </w:r>
      </w:hyperlink>
      <w:r w:rsidRPr="006F2177">
        <w:rPr>
          <w:rFonts w:ascii="Arial" w:hAnsi="Arial" w:cs="Arial"/>
        </w:rPr>
        <w:t> y </w:t>
      </w:r>
      <w:hyperlink r:id="rId14" w:anchor="366" w:history="1">
        <w:r w:rsidRPr="006F2177">
          <w:rPr>
            <w:rFonts w:ascii="Arial" w:hAnsi="Arial" w:cs="Arial"/>
          </w:rPr>
          <w:t>366</w:t>
        </w:r>
      </w:hyperlink>
      <w:r w:rsidRPr="006F2177">
        <w:rPr>
          <w:rFonts w:ascii="Arial" w:hAnsi="Arial" w:cs="Arial"/>
        </w:rPr>
        <w:t> de la Constitución Política, las competencias establecidas en la leyes </w:t>
      </w:r>
      <w:hyperlink r:id="rId15" w:anchor="INICIO" w:history="1">
        <w:r w:rsidRPr="006F2177">
          <w:rPr>
            <w:rFonts w:ascii="Arial" w:hAnsi="Arial" w:cs="Arial"/>
          </w:rPr>
          <w:t>715</w:t>
        </w:r>
      </w:hyperlink>
      <w:r w:rsidRPr="006F2177">
        <w:rPr>
          <w:rFonts w:ascii="Arial" w:hAnsi="Arial" w:cs="Arial"/>
        </w:rPr>
        <w:t> de 2001 y  </w:t>
      </w:r>
      <w:hyperlink r:id="rId16" w:anchor="INICIO" w:history="1">
        <w:r w:rsidRPr="006F2177">
          <w:rPr>
            <w:rFonts w:ascii="Arial" w:hAnsi="Arial" w:cs="Arial"/>
          </w:rPr>
          <w:t>819</w:t>
        </w:r>
      </w:hyperlink>
      <w:r w:rsidRPr="006F2177">
        <w:rPr>
          <w:rFonts w:ascii="Arial" w:hAnsi="Arial" w:cs="Arial"/>
        </w:rPr>
        <w:t> de 2003 incorporar dentro del Presupuesto General de la Nación o impulsar a través del Sistema Nacional de Cofinanciación, las partidas presupuestales necesarias a fin de financiar, en aras del interés cultural, social y deportivo, los torneos y ligas de futbol colombiano.</w:t>
      </w:r>
    </w:p>
    <w:p w14:paraId="10EDEA39" w14:textId="77777777" w:rsidR="006F2177" w:rsidRPr="006F2177" w:rsidRDefault="006F2177" w:rsidP="006F2177">
      <w:pPr>
        <w:pStyle w:val="Sinespaciado"/>
        <w:jc w:val="both"/>
        <w:rPr>
          <w:rFonts w:ascii="Arial" w:hAnsi="Arial" w:cs="Arial"/>
        </w:rPr>
      </w:pPr>
    </w:p>
    <w:p w14:paraId="123F516B" w14:textId="77777777" w:rsidR="006F2177" w:rsidRPr="006F2177" w:rsidRDefault="006F2177" w:rsidP="006F2177">
      <w:pPr>
        <w:pStyle w:val="Sinespaciado"/>
        <w:jc w:val="both"/>
        <w:rPr>
          <w:rFonts w:ascii="Arial" w:hAnsi="Arial" w:cs="Arial"/>
        </w:rPr>
      </w:pPr>
      <w:r w:rsidRPr="006F2177">
        <w:rPr>
          <w:rFonts w:ascii="Arial" w:hAnsi="Arial" w:cs="Arial"/>
          <w:b/>
          <w:smallCaps/>
        </w:rPr>
        <w:t>Artículo 5. Asociaciones público – privadas</w:t>
      </w:r>
      <w:r w:rsidRPr="006F2177">
        <w:rPr>
          <w:rFonts w:ascii="Arial" w:hAnsi="Arial" w:cs="Arial"/>
          <w:b/>
        </w:rPr>
        <w:t>.</w:t>
      </w:r>
      <w:r w:rsidRPr="006F2177">
        <w:rPr>
          <w:rFonts w:ascii="Arial" w:hAnsi="Arial" w:cs="Arial"/>
        </w:rPr>
        <w:t xml:space="preserve"> Las entidades estatales y las organizaciones deportivas y recreativas podrán celebrar, en cumplimiento de la ley 1508 de 2012, asociaciones público privadas para el desarrollo de ligas y torneos.   </w:t>
      </w:r>
    </w:p>
    <w:p w14:paraId="22233F01" w14:textId="77777777" w:rsidR="006F2177" w:rsidRPr="006F2177" w:rsidRDefault="006F2177" w:rsidP="006F2177">
      <w:pPr>
        <w:pStyle w:val="Sinespaciado"/>
        <w:jc w:val="both"/>
        <w:rPr>
          <w:rFonts w:ascii="Arial" w:hAnsi="Arial" w:cs="Arial"/>
          <w:b/>
        </w:rPr>
      </w:pPr>
    </w:p>
    <w:p w14:paraId="3D34C7A1" w14:textId="77777777" w:rsidR="006F2177" w:rsidRPr="006F2177" w:rsidRDefault="006F2177" w:rsidP="006F2177">
      <w:pPr>
        <w:pStyle w:val="Sinespaciado"/>
        <w:jc w:val="both"/>
        <w:rPr>
          <w:rFonts w:ascii="Arial" w:hAnsi="Arial" w:cs="Arial"/>
        </w:rPr>
      </w:pPr>
      <w:r w:rsidRPr="006F2177">
        <w:rPr>
          <w:rFonts w:ascii="Arial" w:hAnsi="Arial" w:cs="Arial"/>
          <w:b/>
          <w:smallCaps/>
        </w:rPr>
        <w:t>Artículo 6.  Promoción de torneos deportivos.</w:t>
      </w:r>
      <w:r w:rsidRPr="006F2177">
        <w:rPr>
          <w:rFonts w:ascii="Arial" w:hAnsi="Arial" w:cs="Arial"/>
          <w:smallCaps/>
        </w:rPr>
        <w:t xml:space="preserve"> </w:t>
      </w:r>
      <w:r w:rsidRPr="006F2177">
        <w:rPr>
          <w:rFonts w:ascii="Arial" w:hAnsi="Arial" w:cs="Arial"/>
        </w:rPr>
        <w:t>La Nación, por medio del</w:t>
      </w:r>
      <w:r w:rsidRPr="006F2177">
        <w:rPr>
          <w:rFonts w:ascii="Arial" w:hAnsi="Arial" w:cs="Arial"/>
          <w:smallCaps/>
        </w:rPr>
        <w:t xml:space="preserve"> </w:t>
      </w:r>
      <w:r w:rsidRPr="006F2177">
        <w:rPr>
          <w:rFonts w:ascii="Arial" w:hAnsi="Arial" w:cs="Arial"/>
        </w:rPr>
        <w:t xml:space="preserve">Ministerio del Deporte y en ejercicio de las funciones de planificación, promoción e impulso del deporte recreativo, competitivo y de alto rendimiento, en coordinación con las federaciones y organizaciones deportivas podrá desarrollar un sistema de financiación pública y privada para planificar un sistema de ascensos y descensos en el futbol profesional colombiano. </w:t>
      </w:r>
    </w:p>
    <w:p w14:paraId="2CDB4328" w14:textId="77777777" w:rsidR="006F2177" w:rsidRPr="006F2177" w:rsidRDefault="006F2177" w:rsidP="006F2177">
      <w:pPr>
        <w:pStyle w:val="Sinespaciado"/>
        <w:jc w:val="both"/>
        <w:rPr>
          <w:rFonts w:ascii="Arial" w:hAnsi="Arial" w:cs="Arial"/>
        </w:rPr>
      </w:pPr>
    </w:p>
    <w:p w14:paraId="72AC1CEF" w14:textId="77777777" w:rsidR="006F2177" w:rsidRPr="006F2177" w:rsidRDefault="006F2177" w:rsidP="006F2177">
      <w:pPr>
        <w:pStyle w:val="Sinespaciado"/>
        <w:jc w:val="both"/>
        <w:rPr>
          <w:rFonts w:ascii="Arial" w:hAnsi="Arial" w:cs="Arial"/>
        </w:rPr>
      </w:pPr>
      <w:r w:rsidRPr="006F2177">
        <w:rPr>
          <w:rFonts w:ascii="Arial" w:hAnsi="Arial" w:cs="Arial"/>
          <w:b/>
          <w:smallCaps/>
        </w:rPr>
        <w:t>Artículo 7.  Registro histórico y cultural del futbol colombiano.</w:t>
      </w:r>
      <w:r w:rsidRPr="006F2177">
        <w:rPr>
          <w:rFonts w:ascii="Arial" w:hAnsi="Arial" w:cs="Arial"/>
          <w:smallCaps/>
        </w:rPr>
        <w:t xml:space="preserve">  </w:t>
      </w:r>
      <w:r w:rsidRPr="006F2177">
        <w:rPr>
          <w:rFonts w:ascii="Arial" w:hAnsi="Arial" w:cs="Arial"/>
        </w:rPr>
        <w:t xml:space="preserve">La Nación, por medio del Ministerio de Cultura, desarrollará el estudio y análisis histórico y cultural del futbol colombiano como parte del patrimonio cultural e inmaterial.  </w:t>
      </w:r>
    </w:p>
    <w:p w14:paraId="4FDF00FF" w14:textId="77777777" w:rsidR="006F2177" w:rsidRPr="006F2177" w:rsidRDefault="006F2177" w:rsidP="006F2177">
      <w:pPr>
        <w:pStyle w:val="Sinespaciado"/>
        <w:jc w:val="both"/>
        <w:rPr>
          <w:rFonts w:ascii="Arial" w:hAnsi="Arial" w:cs="Arial"/>
        </w:rPr>
      </w:pPr>
    </w:p>
    <w:p w14:paraId="3936205C" w14:textId="77777777" w:rsidR="006F2177" w:rsidRPr="006F2177" w:rsidRDefault="006F2177" w:rsidP="006F2177">
      <w:pPr>
        <w:pStyle w:val="Sinespaciado"/>
        <w:jc w:val="both"/>
        <w:rPr>
          <w:rFonts w:ascii="Arial" w:hAnsi="Arial" w:cs="Arial"/>
        </w:rPr>
      </w:pPr>
      <w:r w:rsidRPr="006F2177">
        <w:rPr>
          <w:rFonts w:ascii="Arial" w:hAnsi="Arial" w:cs="Arial"/>
          <w:b/>
          <w:smallCaps/>
        </w:rPr>
        <w:lastRenderedPageBreak/>
        <w:t xml:space="preserve">Artículo 8.  </w:t>
      </w:r>
      <w:r w:rsidRPr="006F2177">
        <w:rPr>
          <w:rFonts w:ascii="Arial" w:eastAsia="Times New Roman" w:hAnsi="Arial" w:cs="Arial"/>
          <w:b/>
          <w:smallCaps/>
          <w:lang w:eastAsia="zh-CN"/>
        </w:rPr>
        <w:t>Vigencia y derogatoria</w:t>
      </w:r>
      <w:r w:rsidRPr="006F2177">
        <w:rPr>
          <w:rFonts w:ascii="Arial" w:hAnsi="Arial" w:cs="Arial"/>
          <w:b/>
          <w:color w:val="050505"/>
          <w:w w:val="105"/>
        </w:rPr>
        <w:t>.</w:t>
      </w:r>
      <w:r w:rsidRPr="006F2177">
        <w:rPr>
          <w:rFonts w:ascii="Arial" w:hAnsi="Arial" w:cs="Arial"/>
          <w:color w:val="050505"/>
          <w:spacing w:val="-2"/>
          <w:w w:val="105"/>
        </w:rPr>
        <w:t xml:space="preserve"> </w:t>
      </w:r>
      <w:r w:rsidRPr="006F2177">
        <w:rPr>
          <w:rFonts w:ascii="Arial" w:hAnsi="Arial" w:cs="Arial"/>
          <w:color w:val="050505"/>
          <w:w w:val="105"/>
        </w:rPr>
        <w:t>La</w:t>
      </w:r>
      <w:r w:rsidRPr="006F2177">
        <w:rPr>
          <w:rFonts w:ascii="Arial" w:hAnsi="Arial" w:cs="Arial"/>
          <w:color w:val="050505"/>
          <w:spacing w:val="-4"/>
          <w:w w:val="105"/>
        </w:rPr>
        <w:t xml:space="preserve"> </w:t>
      </w:r>
      <w:r w:rsidRPr="006F2177">
        <w:rPr>
          <w:rFonts w:ascii="Arial" w:hAnsi="Arial" w:cs="Arial"/>
          <w:color w:val="050505"/>
          <w:w w:val="105"/>
        </w:rPr>
        <w:t>presente</w:t>
      </w:r>
      <w:r w:rsidRPr="006F2177">
        <w:rPr>
          <w:rFonts w:ascii="Arial" w:hAnsi="Arial" w:cs="Arial"/>
          <w:color w:val="050505"/>
          <w:spacing w:val="-4"/>
          <w:w w:val="105"/>
        </w:rPr>
        <w:t xml:space="preserve"> </w:t>
      </w:r>
      <w:r w:rsidRPr="006F2177">
        <w:rPr>
          <w:rFonts w:ascii="Arial" w:hAnsi="Arial" w:cs="Arial"/>
          <w:color w:val="050505"/>
          <w:w w:val="105"/>
        </w:rPr>
        <w:t>ley</w:t>
      </w:r>
      <w:r w:rsidRPr="006F2177">
        <w:rPr>
          <w:rFonts w:ascii="Arial" w:hAnsi="Arial" w:cs="Arial"/>
          <w:color w:val="050505"/>
          <w:spacing w:val="-6"/>
          <w:w w:val="105"/>
        </w:rPr>
        <w:t xml:space="preserve"> </w:t>
      </w:r>
      <w:r w:rsidRPr="006F2177">
        <w:rPr>
          <w:rFonts w:ascii="Arial" w:hAnsi="Arial" w:cs="Arial"/>
          <w:color w:val="050505"/>
          <w:w w:val="105"/>
        </w:rPr>
        <w:t>rige</w:t>
      </w:r>
      <w:r w:rsidRPr="006F2177">
        <w:rPr>
          <w:rFonts w:ascii="Arial" w:hAnsi="Arial" w:cs="Arial"/>
          <w:color w:val="050505"/>
          <w:spacing w:val="-3"/>
          <w:w w:val="105"/>
        </w:rPr>
        <w:t xml:space="preserve"> </w:t>
      </w:r>
      <w:r w:rsidRPr="006F2177">
        <w:rPr>
          <w:rFonts w:ascii="Arial" w:hAnsi="Arial" w:cs="Arial"/>
          <w:color w:val="050505"/>
          <w:w w:val="105"/>
        </w:rPr>
        <w:t>a</w:t>
      </w:r>
      <w:r w:rsidRPr="006F2177">
        <w:rPr>
          <w:rFonts w:ascii="Arial" w:hAnsi="Arial" w:cs="Arial"/>
          <w:color w:val="050505"/>
          <w:spacing w:val="-4"/>
          <w:w w:val="105"/>
        </w:rPr>
        <w:t xml:space="preserve"> </w:t>
      </w:r>
      <w:r w:rsidRPr="006F2177">
        <w:rPr>
          <w:rFonts w:ascii="Arial" w:hAnsi="Arial" w:cs="Arial"/>
          <w:color w:val="050505"/>
          <w:w w:val="105"/>
        </w:rPr>
        <w:t>partir</w:t>
      </w:r>
      <w:r w:rsidRPr="006F2177">
        <w:rPr>
          <w:rFonts w:ascii="Arial" w:hAnsi="Arial" w:cs="Arial"/>
          <w:color w:val="050505"/>
          <w:spacing w:val="-4"/>
          <w:w w:val="105"/>
        </w:rPr>
        <w:t xml:space="preserve"> </w:t>
      </w:r>
      <w:r w:rsidRPr="006F2177">
        <w:rPr>
          <w:rFonts w:ascii="Arial" w:hAnsi="Arial" w:cs="Arial"/>
          <w:color w:val="050505"/>
          <w:w w:val="105"/>
        </w:rPr>
        <w:t>de</w:t>
      </w:r>
      <w:r w:rsidRPr="006F2177">
        <w:rPr>
          <w:rFonts w:ascii="Arial" w:hAnsi="Arial" w:cs="Arial"/>
          <w:color w:val="050505"/>
          <w:spacing w:val="-3"/>
          <w:w w:val="105"/>
        </w:rPr>
        <w:t xml:space="preserve"> </w:t>
      </w:r>
      <w:r w:rsidRPr="006F2177">
        <w:rPr>
          <w:rFonts w:ascii="Arial" w:hAnsi="Arial" w:cs="Arial"/>
          <w:color w:val="050505"/>
          <w:w w:val="105"/>
        </w:rPr>
        <w:t>la</w:t>
      </w:r>
      <w:r w:rsidRPr="006F2177">
        <w:rPr>
          <w:rFonts w:ascii="Arial" w:hAnsi="Arial" w:cs="Arial"/>
          <w:color w:val="050505"/>
          <w:spacing w:val="-4"/>
          <w:w w:val="105"/>
        </w:rPr>
        <w:t xml:space="preserve"> </w:t>
      </w:r>
      <w:r w:rsidRPr="006F2177">
        <w:rPr>
          <w:rFonts w:ascii="Arial" w:hAnsi="Arial" w:cs="Arial"/>
          <w:color w:val="050505"/>
          <w:w w:val="105"/>
        </w:rPr>
        <w:t>fecha</w:t>
      </w:r>
      <w:r w:rsidRPr="006F2177">
        <w:rPr>
          <w:rFonts w:ascii="Arial" w:hAnsi="Arial" w:cs="Arial"/>
          <w:color w:val="050505"/>
          <w:spacing w:val="-4"/>
          <w:w w:val="105"/>
        </w:rPr>
        <w:t xml:space="preserve"> </w:t>
      </w:r>
      <w:r w:rsidRPr="006F2177">
        <w:rPr>
          <w:rFonts w:ascii="Arial" w:hAnsi="Arial" w:cs="Arial"/>
          <w:color w:val="050505"/>
          <w:w w:val="105"/>
        </w:rPr>
        <w:t>de</w:t>
      </w:r>
      <w:r w:rsidRPr="006F2177">
        <w:rPr>
          <w:rFonts w:ascii="Arial" w:hAnsi="Arial" w:cs="Arial"/>
          <w:color w:val="050505"/>
          <w:spacing w:val="-29"/>
          <w:w w:val="105"/>
        </w:rPr>
        <w:t xml:space="preserve"> </w:t>
      </w:r>
      <w:r w:rsidRPr="006F2177">
        <w:rPr>
          <w:rFonts w:ascii="Arial" w:hAnsi="Arial" w:cs="Arial"/>
          <w:color w:val="050505"/>
          <w:w w:val="105"/>
        </w:rPr>
        <w:t>su</w:t>
      </w:r>
      <w:r w:rsidRPr="006F2177">
        <w:rPr>
          <w:rFonts w:ascii="Arial" w:hAnsi="Arial" w:cs="Arial"/>
          <w:color w:val="050505"/>
          <w:spacing w:val="-1"/>
          <w:w w:val="105"/>
        </w:rPr>
        <w:t xml:space="preserve"> </w:t>
      </w:r>
      <w:r w:rsidRPr="006F2177">
        <w:rPr>
          <w:rFonts w:ascii="Arial" w:hAnsi="Arial" w:cs="Arial"/>
          <w:color w:val="050505"/>
          <w:w w:val="105"/>
        </w:rPr>
        <w:t>promulgación</w:t>
      </w:r>
      <w:r w:rsidRPr="006F2177">
        <w:rPr>
          <w:rFonts w:ascii="Arial" w:hAnsi="Arial" w:cs="Arial"/>
          <w:color w:val="050505"/>
          <w:spacing w:val="2"/>
          <w:w w:val="105"/>
        </w:rPr>
        <w:t xml:space="preserve"> </w:t>
      </w:r>
      <w:r w:rsidRPr="006F2177">
        <w:rPr>
          <w:rFonts w:ascii="Arial" w:hAnsi="Arial" w:cs="Arial"/>
          <w:color w:val="050505"/>
          <w:w w:val="105"/>
        </w:rPr>
        <w:t>y</w:t>
      </w:r>
      <w:r w:rsidRPr="006F2177">
        <w:rPr>
          <w:rFonts w:ascii="Arial" w:hAnsi="Arial" w:cs="Arial"/>
          <w:color w:val="050505"/>
          <w:spacing w:val="-2"/>
          <w:w w:val="105"/>
        </w:rPr>
        <w:t xml:space="preserve"> </w:t>
      </w:r>
      <w:r w:rsidRPr="006F2177">
        <w:rPr>
          <w:rFonts w:ascii="Arial" w:hAnsi="Arial" w:cs="Arial"/>
          <w:color w:val="050505"/>
          <w:w w:val="105"/>
        </w:rPr>
        <w:t>deroga</w:t>
      </w:r>
      <w:r w:rsidRPr="006F2177">
        <w:rPr>
          <w:rFonts w:ascii="Arial" w:hAnsi="Arial" w:cs="Arial"/>
          <w:color w:val="050505"/>
          <w:spacing w:val="-1"/>
          <w:w w:val="105"/>
        </w:rPr>
        <w:t xml:space="preserve"> </w:t>
      </w:r>
      <w:r w:rsidRPr="006F2177">
        <w:rPr>
          <w:rFonts w:ascii="Arial" w:hAnsi="Arial" w:cs="Arial"/>
          <w:color w:val="050505"/>
          <w:w w:val="105"/>
        </w:rPr>
        <w:t>las normas que</w:t>
      </w:r>
      <w:r w:rsidRPr="006F2177">
        <w:rPr>
          <w:rFonts w:ascii="Arial" w:hAnsi="Arial" w:cs="Arial"/>
          <w:color w:val="050505"/>
          <w:spacing w:val="-1"/>
          <w:w w:val="105"/>
        </w:rPr>
        <w:t xml:space="preserve"> </w:t>
      </w:r>
      <w:r w:rsidRPr="006F2177">
        <w:rPr>
          <w:rFonts w:ascii="Arial" w:hAnsi="Arial" w:cs="Arial"/>
          <w:color w:val="050505"/>
          <w:w w:val="105"/>
        </w:rPr>
        <w:t>le</w:t>
      </w:r>
      <w:r w:rsidRPr="006F2177">
        <w:rPr>
          <w:rFonts w:ascii="Arial" w:hAnsi="Arial" w:cs="Arial"/>
          <w:color w:val="050505"/>
          <w:spacing w:val="1"/>
          <w:w w:val="105"/>
        </w:rPr>
        <w:t xml:space="preserve"> </w:t>
      </w:r>
      <w:r w:rsidRPr="006F2177">
        <w:rPr>
          <w:rFonts w:ascii="Arial" w:hAnsi="Arial" w:cs="Arial"/>
          <w:color w:val="050505"/>
          <w:w w:val="105"/>
        </w:rPr>
        <w:t>sean contrarias.”</w:t>
      </w:r>
    </w:p>
    <w:p w14:paraId="6C844E93" w14:textId="77777777" w:rsidR="006F2177" w:rsidRPr="006F2177" w:rsidRDefault="006F2177" w:rsidP="006F2177">
      <w:pPr>
        <w:pStyle w:val="Sinespaciado"/>
        <w:jc w:val="both"/>
        <w:rPr>
          <w:rFonts w:ascii="Arial" w:eastAsia="Times New Roman" w:hAnsi="Arial" w:cs="Arial"/>
          <w:smallCaps/>
          <w:color w:val="FF0000"/>
          <w:shd w:val="clear" w:color="auto" w:fill="FFFFFF"/>
          <w:lang w:val="es-ES" w:eastAsia="es-ES_tradnl"/>
        </w:rPr>
      </w:pPr>
    </w:p>
    <w:p w14:paraId="2AC73F7C" w14:textId="04B75D2C" w:rsidR="006F2177" w:rsidRPr="006F2177" w:rsidRDefault="006F2177" w:rsidP="006F2177">
      <w:pPr>
        <w:pStyle w:val="Sinespaciado"/>
        <w:jc w:val="both"/>
        <w:rPr>
          <w:rFonts w:ascii="Arial" w:hAnsi="Arial" w:cs="Arial"/>
          <w:b/>
          <w:smallCaps/>
          <w:color w:val="000000" w:themeColor="text1"/>
          <w:shd w:val="clear" w:color="auto" w:fill="FFFFFF"/>
        </w:rPr>
      </w:pPr>
    </w:p>
    <w:p w14:paraId="38DB490C" w14:textId="64A3DD3D" w:rsidR="006F2177" w:rsidRPr="006F2177" w:rsidRDefault="008857CA" w:rsidP="006F2177">
      <w:pPr>
        <w:pStyle w:val="Sinespaciado"/>
        <w:jc w:val="both"/>
        <w:rPr>
          <w:rFonts w:ascii="Arial" w:hAnsi="Arial" w:cs="Arial"/>
          <w:b/>
          <w:smallCaps/>
          <w:color w:val="000000" w:themeColor="text1"/>
          <w:shd w:val="clear" w:color="auto" w:fill="FFFFFF"/>
        </w:rPr>
      </w:pPr>
      <w:r w:rsidRPr="006F2177">
        <w:rPr>
          <w:rFonts w:ascii="Arial" w:hAnsi="Arial" w:cs="Arial"/>
          <w:b/>
          <w:smallCaps/>
          <w:color w:val="000000" w:themeColor="text1"/>
          <w:shd w:val="clear" w:color="auto" w:fill="FFFFFF"/>
        </w:rPr>
        <w:t>JUAN DIEGO ECHAVARRÍA SÁNCHEZ</w:t>
      </w:r>
      <w:r>
        <w:rPr>
          <w:rFonts w:ascii="Arial" w:hAnsi="Arial" w:cs="Arial"/>
          <w:b/>
          <w:smallCaps/>
          <w:color w:val="000000" w:themeColor="text1"/>
          <w:shd w:val="clear" w:color="auto" w:fill="FFFFFF"/>
        </w:rPr>
        <w:tab/>
      </w:r>
      <w:r w:rsidRPr="006F2177">
        <w:rPr>
          <w:rFonts w:ascii="Arial" w:hAnsi="Arial" w:cs="Arial"/>
          <w:b/>
          <w:smallCaps/>
          <w:color w:val="000000" w:themeColor="text1"/>
          <w:shd w:val="clear" w:color="auto" w:fill="FFFFFF"/>
        </w:rPr>
        <w:t xml:space="preserve">                 </w:t>
      </w:r>
      <w:r>
        <w:rPr>
          <w:rFonts w:ascii="Arial" w:hAnsi="Arial" w:cs="Arial"/>
          <w:b/>
          <w:smallCaps/>
          <w:color w:val="000000" w:themeColor="text1"/>
          <w:shd w:val="clear" w:color="auto" w:fill="FFFFFF"/>
        </w:rPr>
        <w:tab/>
      </w:r>
      <w:r w:rsidRPr="006F2177">
        <w:rPr>
          <w:rFonts w:ascii="Arial" w:hAnsi="Arial" w:cs="Arial"/>
          <w:b/>
          <w:smallCaps/>
          <w:color w:val="000000" w:themeColor="text1"/>
          <w:shd w:val="clear" w:color="auto" w:fill="FFFFFF"/>
        </w:rPr>
        <w:t>JENNIFER KRISTIN ARIAS FALLA</w:t>
      </w:r>
    </w:p>
    <w:p w14:paraId="5587826C" w14:textId="7D6B6711" w:rsidR="008857CA" w:rsidRPr="008857CA" w:rsidRDefault="008857CA" w:rsidP="006F2177">
      <w:pPr>
        <w:pStyle w:val="Sinespaciado"/>
        <w:jc w:val="both"/>
        <w:rPr>
          <w:rFonts w:ascii="Arial" w:eastAsia="Times New Roman" w:hAnsi="Arial" w:cs="Arial"/>
          <w:smallCaps/>
          <w:color w:val="000000" w:themeColor="text1"/>
          <w:shd w:val="clear" w:color="auto" w:fill="FFFFFF"/>
          <w:lang w:eastAsia="es-ES_tradnl"/>
        </w:rPr>
      </w:pPr>
      <w:r w:rsidRPr="008857CA">
        <w:rPr>
          <w:rFonts w:ascii="Arial" w:hAnsi="Arial" w:cs="Arial"/>
        </w:rPr>
        <w:t>Representante a la Cámara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857CA">
        <w:rPr>
          <w:rFonts w:ascii="Arial" w:hAnsi="Arial" w:cs="Arial"/>
        </w:rPr>
        <w:t>Representante a la Cámara</w:t>
      </w:r>
      <w:r w:rsidRPr="008857CA">
        <w:rPr>
          <w:rFonts w:ascii="Arial" w:eastAsia="Times New Roman" w:hAnsi="Arial" w:cs="Arial"/>
          <w:smallCaps/>
          <w:color w:val="000000" w:themeColor="text1"/>
          <w:shd w:val="clear" w:color="auto" w:fill="FFFFFF"/>
          <w:lang w:eastAsia="es-ES_tradnl"/>
        </w:rPr>
        <w:t xml:space="preserve">            </w:t>
      </w:r>
    </w:p>
    <w:p w14:paraId="7633EBD8" w14:textId="77777777" w:rsidR="008857CA" w:rsidRDefault="008857CA" w:rsidP="006F2177">
      <w:pPr>
        <w:pStyle w:val="Sinespaciado"/>
        <w:jc w:val="both"/>
        <w:rPr>
          <w:rFonts w:ascii="Arial" w:eastAsia="Times New Roman" w:hAnsi="Arial" w:cs="Arial"/>
          <w:smallCaps/>
          <w:color w:val="000000" w:themeColor="text1"/>
          <w:shd w:val="clear" w:color="auto" w:fill="FFFFFF"/>
          <w:lang w:eastAsia="es-ES_tradnl"/>
        </w:rPr>
      </w:pPr>
    </w:p>
    <w:p w14:paraId="2E82051D" w14:textId="77777777" w:rsidR="008857CA" w:rsidRDefault="008857CA" w:rsidP="006F2177">
      <w:pPr>
        <w:pStyle w:val="Sinespaciado"/>
        <w:jc w:val="both"/>
        <w:rPr>
          <w:rFonts w:ascii="Arial" w:eastAsia="Times New Roman" w:hAnsi="Arial" w:cs="Arial"/>
          <w:smallCaps/>
          <w:color w:val="000000" w:themeColor="text1"/>
          <w:shd w:val="clear" w:color="auto" w:fill="FFFFFF"/>
          <w:lang w:eastAsia="es-ES_tradnl"/>
        </w:rPr>
      </w:pPr>
    </w:p>
    <w:p w14:paraId="370F53C5" w14:textId="77777777" w:rsidR="008857CA" w:rsidRDefault="008857CA" w:rsidP="006F2177">
      <w:pPr>
        <w:pStyle w:val="Sinespaciado"/>
        <w:jc w:val="both"/>
        <w:rPr>
          <w:rFonts w:ascii="Arial" w:eastAsia="Times New Roman" w:hAnsi="Arial" w:cs="Arial"/>
          <w:smallCaps/>
          <w:color w:val="000000" w:themeColor="text1"/>
          <w:shd w:val="clear" w:color="auto" w:fill="FFFFFF"/>
          <w:lang w:eastAsia="es-ES_tradnl"/>
        </w:rPr>
      </w:pPr>
    </w:p>
    <w:p w14:paraId="675B351B" w14:textId="04540F63" w:rsidR="006F2177" w:rsidRDefault="006F2177" w:rsidP="006F2177">
      <w:pPr>
        <w:pStyle w:val="Sinespaciado"/>
        <w:jc w:val="both"/>
        <w:rPr>
          <w:rFonts w:ascii="Arial" w:eastAsia="Times New Roman" w:hAnsi="Arial" w:cs="Arial"/>
          <w:smallCaps/>
          <w:color w:val="000000" w:themeColor="text1"/>
          <w:shd w:val="clear" w:color="auto" w:fill="FFFFFF"/>
          <w:lang w:eastAsia="es-ES_tradnl"/>
        </w:rPr>
      </w:pPr>
    </w:p>
    <w:p w14:paraId="52EA7439" w14:textId="1C83D20F" w:rsidR="008857CA" w:rsidRPr="008857CA" w:rsidRDefault="008857CA" w:rsidP="008857CA">
      <w:pPr>
        <w:pStyle w:val="Sinespaciado"/>
        <w:jc w:val="both"/>
        <w:rPr>
          <w:rFonts w:ascii="Arial" w:hAnsi="Arial" w:cs="Arial"/>
          <w:b/>
          <w:smallCaps/>
          <w:color w:val="000000" w:themeColor="text1"/>
          <w:shd w:val="clear" w:color="auto" w:fill="FFFFFF"/>
        </w:rPr>
      </w:pPr>
      <w:r w:rsidRPr="008857CA">
        <w:rPr>
          <w:rFonts w:ascii="Arial" w:hAnsi="Arial" w:cs="Arial"/>
          <w:b/>
          <w:smallCaps/>
          <w:color w:val="000000" w:themeColor="text1"/>
          <w:shd w:val="clear" w:color="auto" w:fill="FFFFFF"/>
        </w:rPr>
        <w:t>HENRY F</w:t>
      </w:r>
      <w:r>
        <w:rPr>
          <w:rFonts w:ascii="Arial" w:hAnsi="Arial" w:cs="Arial"/>
          <w:b/>
          <w:smallCaps/>
          <w:color w:val="000000" w:themeColor="text1"/>
          <w:shd w:val="clear" w:color="auto" w:fill="FFFFFF"/>
        </w:rPr>
        <w:t>ERNANDO</w:t>
      </w:r>
      <w:r w:rsidRPr="008857CA">
        <w:rPr>
          <w:rFonts w:ascii="Arial" w:hAnsi="Arial" w:cs="Arial"/>
          <w:b/>
          <w:smallCaps/>
          <w:color w:val="000000" w:themeColor="text1"/>
          <w:shd w:val="clear" w:color="auto" w:fill="FFFFFF"/>
        </w:rPr>
        <w:t xml:space="preserve"> CORREAL HERRERA                           JAIRO CRISTANCHO TARACHE </w:t>
      </w:r>
    </w:p>
    <w:p w14:paraId="273567A5" w14:textId="4DA7A14E" w:rsidR="008857CA" w:rsidRPr="008857CA" w:rsidRDefault="008857CA" w:rsidP="006F2177">
      <w:pPr>
        <w:pStyle w:val="Sinespaciado"/>
        <w:jc w:val="both"/>
        <w:rPr>
          <w:rFonts w:ascii="Arial" w:hAnsi="Arial" w:cs="Arial"/>
          <w:smallCaps/>
          <w:color w:val="000000" w:themeColor="text1"/>
          <w:shd w:val="clear" w:color="auto" w:fill="FFFFFF"/>
          <w:lang w:eastAsia="es-ES_tradnl"/>
        </w:rPr>
      </w:pPr>
      <w:r w:rsidRPr="008857CA">
        <w:rPr>
          <w:rFonts w:ascii="Arial" w:hAnsi="Arial" w:cs="Arial"/>
        </w:rPr>
        <w:t>Representante a la Cámara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857CA">
        <w:rPr>
          <w:rFonts w:ascii="Arial" w:hAnsi="Arial" w:cs="Arial"/>
        </w:rPr>
        <w:t>Representante a la Cámara</w:t>
      </w:r>
      <w:bookmarkStart w:id="0" w:name="_GoBack"/>
      <w:bookmarkEnd w:id="0"/>
    </w:p>
    <w:sectPr w:rsidR="008857CA" w:rsidRPr="008857CA" w:rsidSect="008857CA">
      <w:headerReference w:type="default" r:id="rId17"/>
      <w:footerReference w:type="default" r:id="rId18"/>
      <w:pgSz w:w="12240" w:h="15840" w:code="1"/>
      <w:pgMar w:top="1701" w:right="1418" w:bottom="567" w:left="1701"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F97C3" w14:textId="77777777" w:rsidR="003B5108" w:rsidRDefault="003B5108" w:rsidP="001A75AA">
      <w:pPr>
        <w:spacing w:after="0" w:line="240" w:lineRule="auto"/>
      </w:pPr>
      <w:r>
        <w:separator/>
      </w:r>
    </w:p>
  </w:endnote>
  <w:endnote w:type="continuationSeparator" w:id="0">
    <w:p w14:paraId="38DE1D1C" w14:textId="77777777" w:rsidR="003B5108" w:rsidRDefault="003B5108"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E4940" w14:textId="77777777" w:rsidR="003B5108" w:rsidRDefault="003B5108" w:rsidP="001A75AA">
      <w:pPr>
        <w:spacing w:after="0" w:line="240" w:lineRule="auto"/>
      </w:pPr>
      <w:r>
        <w:separator/>
      </w:r>
    </w:p>
  </w:footnote>
  <w:footnote w:type="continuationSeparator" w:id="0">
    <w:p w14:paraId="0A3C6B32" w14:textId="77777777" w:rsidR="003B5108" w:rsidRDefault="003B5108"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0"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729231F"/>
    <w:multiLevelType w:val="hybridMultilevel"/>
    <w:tmpl w:val="2E3AD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8"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3"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34"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1"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4"/>
  </w:num>
  <w:num w:numId="2">
    <w:abstractNumId w:val="34"/>
  </w:num>
  <w:num w:numId="3">
    <w:abstractNumId w:val="4"/>
  </w:num>
  <w:num w:numId="4">
    <w:abstractNumId w:val="17"/>
  </w:num>
  <w:num w:numId="5">
    <w:abstractNumId w:val="0"/>
  </w:num>
  <w:num w:numId="6">
    <w:abstractNumId w:val="21"/>
  </w:num>
  <w:num w:numId="7">
    <w:abstractNumId w:val="41"/>
  </w:num>
  <w:num w:numId="8">
    <w:abstractNumId w:val="6"/>
  </w:num>
  <w:num w:numId="9">
    <w:abstractNumId w:val="5"/>
  </w:num>
  <w:num w:numId="10">
    <w:abstractNumId w:val="29"/>
  </w:num>
  <w:num w:numId="11">
    <w:abstractNumId w:val="38"/>
  </w:num>
  <w:num w:numId="12">
    <w:abstractNumId w:val="14"/>
  </w:num>
  <w:num w:numId="13">
    <w:abstractNumId w:val="8"/>
  </w:num>
  <w:num w:numId="14">
    <w:abstractNumId w:val="18"/>
  </w:num>
  <w:num w:numId="15">
    <w:abstractNumId w:val="13"/>
  </w:num>
  <w:num w:numId="16">
    <w:abstractNumId w:val="37"/>
  </w:num>
  <w:num w:numId="17">
    <w:abstractNumId w:val="26"/>
  </w:num>
  <w:num w:numId="18">
    <w:abstractNumId w:val="22"/>
  </w:num>
  <w:num w:numId="19">
    <w:abstractNumId w:val="28"/>
  </w:num>
  <w:num w:numId="20">
    <w:abstractNumId w:val="39"/>
  </w:num>
  <w:num w:numId="21">
    <w:abstractNumId w:val="2"/>
  </w:num>
  <w:num w:numId="22">
    <w:abstractNumId w:val="15"/>
  </w:num>
  <w:num w:numId="23">
    <w:abstractNumId w:val="7"/>
  </w:num>
  <w:num w:numId="24">
    <w:abstractNumId w:val="35"/>
  </w:num>
  <w:num w:numId="25">
    <w:abstractNumId w:val="16"/>
  </w:num>
  <w:num w:numId="26">
    <w:abstractNumId w:val="3"/>
  </w:num>
  <w:num w:numId="27">
    <w:abstractNumId w:val="1"/>
  </w:num>
  <w:num w:numId="28">
    <w:abstractNumId w:val="31"/>
  </w:num>
  <w:num w:numId="29">
    <w:abstractNumId w:val="10"/>
  </w:num>
  <w:num w:numId="30">
    <w:abstractNumId w:val="20"/>
  </w:num>
  <w:num w:numId="31">
    <w:abstractNumId w:val="12"/>
  </w:num>
  <w:num w:numId="32">
    <w:abstractNumId w:val="33"/>
  </w:num>
  <w:num w:numId="33">
    <w:abstractNumId w:val="27"/>
  </w:num>
  <w:num w:numId="34">
    <w:abstractNumId w:val="32"/>
  </w:num>
  <w:num w:numId="35">
    <w:abstractNumId w:val="40"/>
  </w:num>
  <w:num w:numId="36">
    <w:abstractNumId w:val="36"/>
  </w:num>
  <w:num w:numId="37">
    <w:abstractNumId w:val="30"/>
  </w:num>
  <w:num w:numId="38">
    <w:abstractNumId w:val="11"/>
  </w:num>
  <w:num w:numId="39">
    <w:abstractNumId w:val="19"/>
  </w:num>
  <w:num w:numId="40">
    <w:abstractNumId w:val="25"/>
  </w:num>
  <w:num w:numId="41">
    <w:abstractNumId w:val="9"/>
  </w:num>
  <w:num w:numId="4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30617"/>
    <w:rsid w:val="00231796"/>
    <w:rsid w:val="00232981"/>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696A"/>
    <w:rsid w:val="00336CD4"/>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0E0F"/>
    <w:rsid w:val="003A26FB"/>
    <w:rsid w:val="003A40D2"/>
    <w:rsid w:val="003A4DEC"/>
    <w:rsid w:val="003A6AE5"/>
    <w:rsid w:val="003B0F5C"/>
    <w:rsid w:val="003B2C8F"/>
    <w:rsid w:val="003B359B"/>
    <w:rsid w:val="003B3EBB"/>
    <w:rsid w:val="003B50C1"/>
    <w:rsid w:val="003B5108"/>
    <w:rsid w:val="003C0DF5"/>
    <w:rsid w:val="003C2A93"/>
    <w:rsid w:val="003C3E07"/>
    <w:rsid w:val="003D161F"/>
    <w:rsid w:val="003D1A97"/>
    <w:rsid w:val="003D3D21"/>
    <w:rsid w:val="003D7516"/>
    <w:rsid w:val="003D7AD3"/>
    <w:rsid w:val="003D7EC1"/>
    <w:rsid w:val="003E193F"/>
    <w:rsid w:val="003E215A"/>
    <w:rsid w:val="003E3BD9"/>
    <w:rsid w:val="003E4343"/>
    <w:rsid w:val="003E585B"/>
    <w:rsid w:val="003E5F08"/>
    <w:rsid w:val="003F0BA6"/>
    <w:rsid w:val="003F262C"/>
    <w:rsid w:val="003F43C3"/>
    <w:rsid w:val="003F538E"/>
    <w:rsid w:val="004005E0"/>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66E4"/>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C6DF0"/>
    <w:rsid w:val="004E04C3"/>
    <w:rsid w:val="004E674B"/>
    <w:rsid w:val="004E71FD"/>
    <w:rsid w:val="004E7DF6"/>
    <w:rsid w:val="004F1CE6"/>
    <w:rsid w:val="004F215A"/>
    <w:rsid w:val="004F4B33"/>
    <w:rsid w:val="00503697"/>
    <w:rsid w:val="0051179B"/>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2177"/>
    <w:rsid w:val="006F38A8"/>
    <w:rsid w:val="006F6B69"/>
    <w:rsid w:val="00712430"/>
    <w:rsid w:val="00713DC0"/>
    <w:rsid w:val="00716397"/>
    <w:rsid w:val="007167A5"/>
    <w:rsid w:val="00720ABC"/>
    <w:rsid w:val="00734B4F"/>
    <w:rsid w:val="00740BB6"/>
    <w:rsid w:val="00741569"/>
    <w:rsid w:val="00743F79"/>
    <w:rsid w:val="007446C5"/>
    <w:rsid w:val="00752B55"/>
    <w:rsid w:val="00754CD5"/>
    <w:rsid w:val="0076487F"/>
    <w:rsid w:val="00765D2D"/>
    <w:rsid w:val="00766F75"/>
    <w:rsid w:val="00772861"/>
    <w:rsid w:val="00777E62"/>
    <w:rsid w:val="0078393C"/>
    <w:rsid w:val="00783FF1"/>
    <w:rsid w:val="0078793C"/>
    <w:rsid w:val="00787B8E"/>
    <w:rsid w:val="0079437A"/>
    <w:rsid w:val="00796C52"/>
    <w:rsid w:val="0079782C"/>
    <w:rsid w:val="007A4F17"/>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7CA"/>
    <w:rsid w:val="00885EEE"/>
    <w:rsid w:val="0088732B"/>
    <w:rsid w:val="00890AB9"/>
    <w:rsid w:val="00894FA1"/>
    <w:rsid w:val="00896C13"/>
    <w:rsid w:val="008A21D1"/>
    <w:rsid w:val="008A2D0D"/>
    <w:rsid w:val="008A4F93"/>
    <w:rsid w:val="008B0560"/>
    <w:rsid w:val="008B0E49"/>
    <w:rsid w:val="008B2C58"/>
    <w:rsid w:val="008B71A0"/>
    <w:rsid w:val="008C3815"/>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0F9C"/>
    <w:rsid w:val="00901903"/>
    <w:rsid w:val="009120F5"/>
    <w:rsid w:val="0092131B"/>
    <w:rsid w:val="00921529"/>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626"/>
    <w:rsid w:val="00A34CA2"/>
    <w:rsid w:val="00A35669"/>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C5DB8"/>
    <w:rsid w:val="00AD05D9"/>
    <w:rsid w:val="00AD580C"/>
    <w:rsid w:val="00AE5DE7"/>
    <w:rsid w:val="00AF3851"/>
    <w:rsid w:val="00AF6350"/>
    <w:rsid w:val="00B02E63"/>
    <w:rsid w:val="00B04E91"/>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640F6"/>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40C87"/>
    <w:rsid w:val="00E42F28"/>
    <w:rsid w:val="00E4662B"/>
    <w:rsid w:val="00E47A08"/>
    <w:rsid w:val="00E501B8"/>
    <w:rsid w:val="00E52A0D"/>
    <w:rsid w:val="00E53778"/>
    <w:rsid w:val="00E5517D"/>
    <w:rsid w:val="00E55E1E"/>
    <w:rsid w:val="00E5643A"/>
    <w:rsid w:val="00E61324"/>
    <w:rsid w:val="00E62CF7"/>
    <w:rsid w:val="00E67E16"/>
    <w:rsid w:val="00E70C84"/>
    <w:rsid w:val="00E715E3"/>
    <w:rsid w:val="00E71BF7"/>
    <w:rsid w:val="00E71E72"/>
    <w:rsid w:val="00E73DC8"/>
    <w:rsid w:val="00E77C5E"/>
    <w:rsid w:val="00E77D6C"/>
    <w:rsid w:val="00E80D35"/>
    <w:rsid w:val="00E8300E"/>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customStyle="1" w:styleId="TableParagraph">
    <w:name w:val="Table Paragraph"/>
    <w:basedOn w:val="Normal"/>
    <w:uiPriority w:val="1"/>
    <w:qFormat/>
    <w:rsid w:val="006F2177"/>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9.html" TargetMode="External"/><Relationship Id="rId13" Type="http://schemas.openxmlformats.org/officeDocument/2006/relationships/hyperlink" Target="http://www.secretariasenado.gov.co/senado/basedoc/constitucion_politica_1991_pr011.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constitucion_politica_1991_pr011.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ecretariasenado.gov.co/senado/basedoc/ley_0819_2003.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_pr011.html" TargetMode="External"/><Relationship Id="rId5" Type="http://schemas.openxmlformats.org/officeDocument/2006/relationships/webSettings" Target="webSettings.xml"/><Relationship Id="rId15" Type="http://schemas.openxmlformats.org/officeDocument/2006/relationships/hyperlink" Target="http://www.secretariasenado.gov.co/senado/basedoc/ley_0715_2001.html" TargetMode="External"/><Relationship Id="rId10" Type="http://schemas.openxmlformats.org/officeDocument/2006/relationships/hyperlink" Target="http://www.secretariasenado.gov.co/senado/basedoc/constitucion_politica_1991_pr011.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11.html" TargetMode="External"/><Relationship Id="rId14" Type="http://schemas.openxmlformats.org/officeDocument/2006/relationships/hyperlink" Target="http://www.secretariasenado.gov.co/senado/basedoc/constitucion_politica_1991_pr012.html"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253FC-132E-40D6-BD55-46DD5B84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3421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cp:revision>
  <cp:lastPrinted>2021-10-04T20:17:00Z</cp:lastPrinted>
  <dcterms:created xsi:type="dcterms:W3CDTF">2021-12-01T16:53:00Z</dcterms:created>
  <dcterms:modified xsi:type="dcterms:W3CDTF">2021-12-01T16:53:00Z</dcterms:modified>
</cp:coreProperties>
</file>